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805002">
        <w:rPr>
          <w:b/>
          <w:bCs/>
          <w:color w:val="000000"/>
        </w:rPr>
        <w:t xml:space="preserve"> barmańskiego, </w:t>
      </w:r>
      <w:proofErr w:type="spellStart"/>
      <w:r w:rsidR="00805002">
        <w:rPr>
          <w:b/>
          <w:bCs/>
          <w:color w:val="000000"/>
        </w:rPr>
        <w:t>baristycznego</w:t>
      </w:r>
      <w:proofErr w:type="spellEnd"/>
      <w:r w:rsidR="00805002">
        <w:rPr>
          <w:b/>
          <w:bCs/>
          <w:color w:val="000000"/>
        </w:rPr>
        <w:t xml:space="preserve"> i sommelierskiego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90DD-501E-46F5-8AED-15D6748F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42</cp:revision>
  <dcterms:created xsi:type="dcterms:W3CDTF">2019-04-12T08:22:00Z</dcterms:created>
  <dcterms:modified xsi:type="dcterms:W3CDTF">2022-06-15T11:47:00Z</dcterms:modified>
</cp:coreProperties>
</file>